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4D22F" w14:textId="146B25E2" w:rsidR="000D386D" w:rsidRPr="001A5FE0" w:rsidRDefault="00E86C28" w:rsidP="008530D9">
      <w:pPr>
        <w:spacing w:line="360" w:lineRule="auto"/>
        <w:jc w:val="center"/>
        <w:rPr>
          <w:b/>
          <w:bCs/>
          <w:sz w:val="20"/>
          <w:szCs w:val="20"/>
          <w:u w:val="single"/>
        </w:rPr>
      </w:pPr>
      <w:r w:rsidRPr="008530D9">
        <w:rPr>
          <w:rFonts w:cs="Tahoma"/>
          <w:noProof/>
          <w:sz w:val="40"/>
          <w:szCs w:val="40"/>
          <w:u w:val="single"/>
        </w:rPr>
        <mc:AlternateContent>
          <mc:Choice Requires="wps">
            <w:drawing>
              <wp:anchor distT="0" distB="0" distL="114300" distR="114300" simplePos="0" relativeHeight="251659264" behindDoc="0" locked="1" layoutInCell="1" allowOverlap="1" wp14:anchorId="0B599CAA" wp14:editId="1B166176">
                <wp:simplePos x="0" y="0"/>
                <wp:positionH relativeFrom="margin">
                  <wp:align>right</wp:align>
                </wp:positionH>
                <wp:positionV relativeFrom="page">
                  <wp:posOffset>1392555</wp:posOffset>
                </wp:positionV>
                <wp:extent cx="2602865" cy="219710"/>
                <wp:effectExtent l="0" t="0" r="6985"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19710"/>
                        </a:xfrm>
                        <a:prstGeom prst="rect">
                          <a:avLst/>
                        </a:prstGeom>
                        <a:noFill/>
                        <a:ln w="9525">
                          <a:noFill/>
                          <a:miter lim="800000"/>
                          <a:headEnd/>
                          <a:tailEnd/>
                        </a:ln>
                      </wps:spPr>
                      <wps:txbx>
                        <w:txbxContent>
                          <w:p w14:paraId="45802A3B" w14:textId="1B6D58D8" w:rsidR="00E86C28" w:rsidRDefault="008C4CE0" w:rsidP="00E86C28">
                            <w:pPr>
                              <w:jc w:val="right"/>
                              <w:rPr>
                                <w:rFonts w:cs="Tahoma"/>
                                <w:b/>
                                <w:bCs/>
                                <w:color w:val="000000"/>
                                <w:szCs w:val="18"/>
                              </w:rPr>
                            </w:pPr>
                            <w:r>
                              <w:rPr>
                                <w:rFonts w:cs="Tahoma"/>
                                <w:b/>
                                <w:bCs/>
                                <w:color w:val="000000"/>
                                <w:szCs w:val="18"/>
                              </w:rPr>
                              <w:t>6</w:t>
                            </w:r>
                            <w:r w:rsidR="00747571">
                              <w:rPr>
                                <w:rFonts w:cs="Tahoma"/>
                                <w:b/>
                                <w:bCs/>
                                <w:color w:val="000000"/>
                                <w:szCs w:val="18"/>
                              </w:rPr>
                              <w:t xml:space="preserve"> </w:t>
                            </w:r>
                            <w:r>
                              <w:rPr>
                                <w:rFonts w:cs="Tahoma"/>
                                <w:b/>
                                <w:bCs/>
                                <w:color w:val="000000"/>
                                <w:szCs w:val="18"/>
                              </w:rPr>
                              <w:t>September</w:t>
                            </w:r>
                            <w:r w:rsidR="007E4F0B">
                              <w:rPr>
                                <w:rFonts w:cs="Tahoma"/>
                                <w:b/>
                                <w:bCs/>
                                <w:color w:val="000000"/>
                                <w:szCs w:val="18"/>
                              </w:rPr>
                              <w:t xml:space="preserve"> </w:t>
                            </w:r>
                            <w:r w:rsidR="00E86C28">
                              <w:rPr>
                                <w:rFonts w:cs="Tahoma"/>
                                <w:b/>
                                <w:bCs/>
                                <w:color w:val="000000"/>
                                <w:szCs w:val="18"/>
                              </w:rPr>
                              <w:t>202</w:t>
                            </w:r>
                            <w:r w:rsidR="00231E9B">
                              <w:rPr>
                                <w:rFonts w:cs="Tahoma"/>
                                <w:b/>
                                <w:bCs/>
                                <w:color w:val="000000"/>
                                <w:szCs w:val="18"/>
                              </w:rPr>
                              <w:t>2</w:t>
                            </w:r>
                          </w:p>
                          <w:p w14:paraId="60E0FAD7" w14:textId="77777777" w:rsidR="00E86C28" w:rsidRPr="002D5109" w:rsidRDefault="00E86C28" w:rsidP="00E86C28">
                            <w:pPr>
                              <w:rPr>
                                <w:sz w:val="38"/>
                                <w:szCs w:val="3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99CAA" id="_x0000_t202" coordsize="21600,21600" o:spt="202" path="m,l,21600r21600,l21600,xe">
                <v:stroke joinstyle="miter"/>
                <v:path gradientshapeok="t" o:connecttype="rect"/>
              </v:shapetype>
              <v:shape id="Pole tekstowe 2" o:spid="_x0000_s1026" type="#_x0000_t202" style="position:absolute;left:0;text-align:left;margin-left:153.75pt;margin-top:109.65pt;width:204.95pt;height:1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" filled="f" stroked="f">
                <v:textbox inset="0,0,0,0">
                  <w:txbxContent>
                    <w:p w14:paraId="45802A3B" w14:textId="1B6D58D8" w:rsidR="00E86C28" w:rsidRDefault="008C4CE0" w:rsidP="00E86C28">
                      <w:pPr>
                        <w:jc w:val="right"/>
                        <w:rPr>
                          <w:rFonts w:cs="Tahoma"/>
                          <w:b/>
                          <w:bCs/>
                          <w:color w:val="000000"/>
                          <w:szCs w:val="18"/>
                        </w:rPr>
                      </w:pPr>
                      <w:r>
                        <w:rPr>
                          <w:rFonts w:cs="Tahoma"/>
                          <w:b/>
                          <w:bCs/>
                          <w:color w:val="000000"/>
                          <w:szCs w:val="18"/>
                        </w:rPr>
                        <w:t>6</w:t>
                      </w:r>
                      <w:r w:rsidR="00747571">
                        <w:rPr>
                          <w:rFonts w:cs="Tahoma"/>
                          <w:b/>
                          <w:bCs/>
                          <w:color w:val="000000"/>
                          <w:szCs w:val="18"/>
                        </w:rPr>
                        <w:t xml:space="preserve"> </w:t>
                      </w:r>
                      <w:r>
                        <w:rPr>
                          <w:rFonts w:cs="Tahoma"/>
                          <w:b/>
                          <w:bCs/>
                          <w:color w:val="000000"/>
                          <w:szCs w:val="18"/>
                        </w:rPr>
                        <w:t>September</w:t>
                      </w:r>
                      <w:r w:rsidR="007E4F0B">
                        <w:rPr>
                          <w:rFonts w:cs="Tahoma"/>
                          <w:b/>
                          <w:bCs/>
                          <w:color w:val="000000"/>
                          <w:szCs w:val="18"/>
                        </w:rPr>
                        <w:t xml:space="preserve"> </w:t>
                      </w:r>
                      <w:r w:rsidR="00E86C28">
                        <w:rPr>
                          <w:rFonts w:cs="Tahoma"/>
                          <w:b/>
                          <w:bCs/>
                          <w:color w:val="000000"/>
                          <w:szCs w:val="18"/>
                        </w:rPr>
                        <w:t>202</w:t>
                      </w:r>
                      <w:r w:rsidR="00231E9B">
                        <w:rPr>
                          <w:rFonts w:cs="Tahoma"/>
                          <w:b/>
                          <w:bCs/>
                          <w:color w:val="000000"/>
                          <w:szCs w:val="18"/>
                        </w:rPr>
                        <w:t>2</w:t>
                      </w:r>
                    </w:p>
                    <w:p w14:paraId="60E0FAD7" w14:textId="77777777" w:rsidR="00E86C28" w:rsidRPr="002D5109" w:rsidRDefault="00E86C28" w:rsidP="00E86C28">
                      <w:pPr>
                        <w:rPr>
                          <w:sz w:val="38"/>
                          <w:szCs w:val="38"/>
                        </w:rPr>
                      </w:pPr>
                    </w:p>
                  </w:txbxContent>
                </v:textbox>
                <w10:wrap anchorx="margin" anchory="page"/>
                <w10:anchorlock/>
              </v:shape>
            </w:pict>
          </mc:Fallback>
        </mc:AlternateContent>
      </w:r>
      <w:r w:rsidRPr="008530D9">
        <w:rPr>
          <w:rFonts w:cs="Tahoma"/>
          <w:noProof/>
          <w:sz w:val="40"/>
          <w:szCs w:val="40"/>
          <w:u w:val="single"/>
        </w:rPr>
        <mc:AlternateContent>
          <mc:Choice Requires="wps">
            <w:drawing>
              <wp:anchor distT="0" distB="0" distL="114300" distR="114300" simplePos="0" relativeHeight="251658240" behindDoc="0" locked="1" layoutInCell="1" allowOverlap="1" wp14:anchorId="07DBE0CE" wp14:editId="5C241A3D">
                <wp:simplePos x="0" y="0"/>
                <wp:positionH relativeFrom="margin">
                  <wp:align>left</wp:align>
                </wp:positionH>
                <wp:positionV relativeFrom="page">
                  <wp:posOffset>1275080</wp:posOffset>
                </wp:positionV>
                <wp:extent cx="2600960" cy="461645"/>
                <wp:effectExtent l="0" t="0" r="8890" b="571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461645"/>
                        </a:xfrm>
                        <a:prstGeom prst="rect">
                          <a:avLst/>
                        </a:prstGeom>
                        <a:noFill/>
                        <a:ln w="9525">
                          <a:noFill/>
                          <a:miter lim="800000"/>
                          <a:headEnd/>
                          <a:tailEnd/>
                        </a:ln>
                      </wps:spPr>
                      <wps:txbx>
                        <w:txbxContent>
                          <w:p w14:paraId="136700AB" w14:textId="562E0CBE" w:rsidR="00E86C28" w:rsidRPr="002D5109" w:rsidRDefault="00E86C28" w:rsidP="00E86C28">
                            <w:pPr>
                              <w:jc w:val="both"/>
                              <w:rPr>
                                <w:sz w:val="38"/>
                                <w:szCs w:val="38"/>
                              </w:rPr>
                            </w:pPr>
                            <w:r>
                              <w:rPr>
                                <w:sz w:val="38"/>
                                <w:szCs w:val="38"/>
                              </w:rPr>
                              <w:t>PRESS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BE0CE" id="Pole tekstowe 307" o:spid="_x0000_s1027" type="#_x0000_t202" style="position:absolute;left:0;text-align:left;margin-left:0;margin-top:100.4pt;width:204.8pt;height:36.3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" filled="f" stroked="f">
                <v:textbox style="mso-fit-shape-to-text:t" inset="0,0,0,0">
                  <w:txbxContent>
                    <w:p w14:paraId="136700AB" w14:textId="562E0CBE" w:rsidR="00E86C28" w:rsidRPr="002D5109" w:rsidRDefault="00E86C28" w:rsidP="00E86C28">
                      <w:pPr>
                        <w:jc w:val="both"/>
                        <w:rPr>
                          <w:sz w:val="38"/>
                          <w:szCs w:val="38"/>
                        </w:rPr>
                      </w:pPr>
                      <w:r>
                        <w:rPr>
                          <w:sz w:val="38"/>
                          <w:szCs w:val="38"/>
                        </w:rPr>
                        <w:t>PRESS RELEASE</w:t>
                      </w:r>
                    </w:p>
                  </w:txbxContent>
                </v:textbox>
                <w10:wrap anchorx="margin" anchory="page"/>
                <w10:anchorlock/>
              </v:shape>
            </w:pict>
          </mc:Fallback>
        </mc:AlternateContent>
      </w:r>
      <w:r w:rsidR="008A7409" w:rsidRPr="005B531E">
        <w:rPr>
          <w:rFonts w:cs="Tahoma"/>
          <w:b/>
          <w:bCs/>
          <w:noProof/>
          <w:sz w:val="20"/>
          <w:szCs w:val="20"/>
          <w:u w:val="single"/>
        </w:rPr>
        <w:t xml:space="preserve">Introducing the architectural market’s cool and brilliant new glass solution – </w:t>
      </w:r>
      <w:r w:rsidR="008A7409" w:rsidRPr="005B531E">
        <w:rPr>
          <w:rFonts w:cs="Tahoma"/>
          <w:noProof/>
          <w:sz w:val="20"/>
          <w:szCs w:val="20"/>
          <w:u w:val="single"/>
        </w:rPr>
        <w:t>Pilkington</w:t>
      </w:r>
      <w:r w:rsidR="009B62D7">
        <w:rPr>
          <w:rFonts w:cs="Tahoma"/>
          <w:b/>
          <w:bCs/>
          <w:noProof/>
          <w:sz w:val="20"/>
          <w:szCs w:val="20"/>
          <w:u w:val="single"/>
        </w:rPr>
        <w:t> </w:t>
      </w:r>
      <w:r w:rsidR="008A7409" w:rsidRPr="005B531E">
        <w:rPr>
          <w:rFonts w:cs="Tahoma"/>
          <w:b/>
          <w:bCs/>
          <w:noProof/>
          <w:sz w:val="20"/>
          <w:szCs w:val="20"/>
          <w:u w:val="single"/>
        </w:rPr>
        <w:t xml:space="preserve">Suncool™ </w:t>
      </w:r>
      <w:r w:rsidR="008A7409" w:rsidRPr="005B531E">
        <w:rPr>
          <w:rFonts w:cs="Tahoma"/>
          <w:noProof/>
          <w:sz w:val="20"/>
          <w:szCs w:val="20"/>
          <w:u w:val="single"/>
        </w:rPr>
        <w:t>Q</w:t>
      </w:r>
    </w:p>
    <w:p w14:paraId="120B2221" w14:textId="14FD519A" w:rsidR="007A0C41" w:rsidRPr="00643191" w:rsidRDefault="00643191" w:rsidP="008D26DA">
      <w:pPr>
        <w:spacing w:before="100" w:beforeAutospacing="1" w:after="100" w:afterAutospacing="1" w:line="360" w:lineRule="auto"/>
        <w:jc w:val="both"/>
        <w:rPr>
          <w:b/>
          <w:sz w:val="20"/>
          <w:szCs w:val="20"/>
        </w:rPr>
      </w:pPr>
      <w:r w:rsidRPr="00643191">
        <w:rPr>
          <w:b/>
          <w:sz w:val="20"/>
          <w:szCs w:val="20"/>
        </w:rPr>
        <w:t xml:space="preserve">NSG Group has launched </w:t>
      </w:r>
      <w:r w:rsidRPr="00643191">
        <w:rPr>
          <w:bCs/>
          <w:sz w:val="20"/>
          <w:szCs w:val="20"/>
        </w:rPr>
        <w:t>Pilkington</w:t>
      </w:r>
      <w:r w:rsidRPr="00643191">
        <w:rPr>
          <w:b/>
          <w:sz w:val="20"/>
          <w:szCs w:val="20"/>
        </w:rPr>
        <w:t xml:space="preserve"> Suncool™ </w:t>
      </w:r>
      <w:r w:rsidRPr="00643191">
        <w:rPr>
          <w:bCs/>
          <w:sz w:val="20"/>
          <w:szCs w:val="20"/>
        </w:rPr>
        <w:t xml:space="preserve">Q </w:t>
      </w:r>
      <w:r w:rsidRPr="00643191">
        <w:rPr>
          <w:b/>
          <w:sz w:val="20"/>
          <w:szCs w:val="20"/>
        </w:rPr>
        <w:t>– its latest offering in a range that provides the most advanced solutions</w:t>
      </w:r>
      <w:r w:rsidRPr="00643191" w:rsidDel="00810D3D">
        <w:rPr>
          <w:b/>
          <w:sz w:val="20"/>
          <w:szCs w:val="20"/>
        </w:rPr>
        <w:t xml:space="preserve"> </w:t>
      </w:r>
      <w:r w:rsidRPr="00643191">
        <w:rPr>
          <w:b/>
          <w:sz w:val="20"/>
          <w:szCs w:val="20"/>
        </w:rPr>
        <w:t>in new high performance solar control.</w:t>
      </w:r>
    </w:p>
    <w:p w14:paraId="3230994E" w14:textId="77777777" w:rsidR="008D26DA" w:rsidRPr="008D26DA" w:rsidRDefault="008D26DA" w:rsidP="008D26DA">
      <w:pPr>
        <w:spacing w:before="100" w:beforeAutospacing="1" w:after="100" w:afterAutospacing="1" w:line="360" w:lineRule="auto"/>
        <w:jc w:val="both"/>
        <w:rPr>
          <w:sz w:val="20"/>
          <w:szCs w:val="20"/>
        </w:rPr>
      </w:pPr>
      <w:r w:rsidRPr="008D26DA">
        <w:rPr>
          <w:bCs/>
          <w:sz w:val="20"/>
          <w:szCs w:val="20"/>
        </w:rPr>
        <w:t>Uniquely, this innovative new product allows the</w:t>
      </w:r>
      <w:r w:rsidRPr="008D26DA">
        <w:rPr>
          <w:bCs/>
          <w:color w:val="000000"/>
          <w:sz w:val="20"/>
          <w:szCs w:val="20"/>
        </w:rPr>
        <w:t xml:space="preserve"> individual glass types within the range to seamlessly match each other from the external viewers’ perspective – an advantage that was previously not possible with other</w:t>
      </w:r>
      <w:r w:rsidRPr="008D26DA">
        <w:rPr>
          <w:b/>
          <w:color w:val="000000"/>
          <w:sz w:val="20"/>
          <w:szCs w:val="20"/>
        </w:rPr>
        <w:t xml:space="preserve"> </w:t>
      </w:r>
      <w:r w:rsidRPr="008D26DA">
        <w:rPr>
          <w:color w:val="000000"/>
          <w:sz w:val="20"/>
          <w:szCs w:val="20"/>
        </w:rPr>
        <w:t xml:space="preserve">Pilkington </w:t>
      </w:r>
      <w:r w:rsidRPr="008D26DA">
        <w:rPr>
          <w:b/>
          <w:bCs/>
          <w:color w:val="000000"/>
          <w:sz w:val="20"/>
          <w:szCs w:val="20"/>
        </w:rPr>
        <w:t>Suncool™</w:t>
      </w:r>
      <w:r w:rsidRPr="008D26DA">
        <w:rPr>
          <w:color w:val="000000"/>
          <w:sz w:val="20"/>
          <w:szCs w:val="20"/>
        </w:rPr>
        <w:t xml:space="preserve"> products.</w:t>
      </w:r>
    </w:p>
    <w:p w14:paraId="0D76021B" w14:textId="77777777" w:rsidR="008D26DA" w:rsidRPr="008D26DA" w:rsidRDefault="008D26DA" w:rsidP="008D26DA">
      <w:pPr>
        <w:spacing w:before="100" w:beforeAutospacing="1" w:after="100" w:afterAutospacing="1" w:line="360" w:lineRule="auto"/>
        <w:rPr>
          <w:sz w:val="20"/>
          <w:szCs w:val="20"/>
        </w:rPr>
      </w:pPr>
      <w:r w:rsidRPr="008D26DA">
        <w:rPr>
          <w:sz w:val="20"/>
          <w:szCs w:val="20"/>
        </w:rPr>
        <w:t>With effective sun protection becoming more and more important, the right glazing not only protects against solar radiation in summer but can also help to reduce heating costs in winter. In the long term, this protects both the climate and your wallet.</w:t>
      </w:r>
    </w:p>
    <w:p w14:paraId="033B8534" w14:textId="77777777" w:rsidR="008D26DA" w:rsidRPr="008D26DA" w:rsidRDefault="008D26DA" w:rsidP="008D26DA">
      <w:pPr>
        <w:spacing w:before="100" w:beforeAutospacing="1" w:after="100" w:afterAutospacing="1" w:line="360" w:lineRule="auto"/>
        <w:rPr>
          <w:sz w:val="20"/>
          <w:szCs w:val="20"/>
        </w:rPr>
      </w:pPr>
      <w:r w:rsidRPr="008D26DA">
        <w:rPr>
          <w:sz w:val="20"/>
          <w:szCs w:val="20"/>
        </w:rPr>
        <w:t xml:space="preserve">The solutions offered by Pilkington </w:t>
      </w:r>
      <w:r w:rsidRPr="008D26DA">
        <w:rPr>
          <w:b/>
          <w:sz w:val="20"/>
          <w:szCs w:val="20"/>
        </w:rPr>
        <w:t>Suncool™</w:t>
      </w:r>
      <w:r w:rsidRPr="008D26DA">
        <w:rPr>
          <w:sz w:val="20"/>
          <w:szCs w:val="20"/>
        </w:rPr>
        <w:t xml:space="preserve"> Q provide architects with a host of aesthetic and practical possibilities. A superior solar control glass range with high colour-stability, low reflection, low angle dependence, excellent neutrality and superb selectivity, the range includes Pilkington </w:t>
      </w:r>
      <w:r w:rsidRPr="008D26DA">
        <w:rPr>
          <w:b/>
          <w:sz w:val="20"/>
          <w:szCs w:val="20"/>
        </w:rPr>
        <w:t>Suncool™</w:t>
      </w:r>
      <w:r w:rsidRPr="008D26DA">
        <w:rPr>
          <w:sz w:val="20"/>
          <w:szCs w:val="20"/>
        </w:rPr>
        <w:t xml:space="preserve"> Q 50, Pilkington </w:t>
      </w:r>
      <w:r w:rsidRPr="008D26DA">
        <w:rPr>
          <w:b/>
          <w:sz w:val="20"/>
          <w:szCs w:val="20"/>
        </w:rPr>
        <w:t>Suncool™</w:t>
      </w:r>
      <w:r w:rsidRPr="008D26DA">
        <w:rPr>
          <w:sz w:val="20"/>
          <w:szCs w:val="20"/>
        </w:rPr>
        <w:t xml:space="preserve"> Q 60 and Pilkington </w:t>
      </w:r>
      <w:r w:rsidRPr="008D26DA">
        <w:rPr>
          <w:b/>
          <w:sz w:val="20"/>
          <w:szCs w:val="20"/>
        </w:rPr>
        <w:t>Suncool™</w:t>
      </w:r>
      <w:r w:rsidRPr="008D26DA">
        <w:rPr>
          <w:sz w:val="20"/>
          <w:szCs w:val="20"/>
        </w:rPr>
        <w:t xml:space="preserve"> Q 70 – all offering various levels of light transmission and solar heat gain.</w:t>
      </w:r>
    </w:p>
    <w:p w14:paraId="1D71C2A2" w14:textId="77777777" w:rsidR="008D26DA" w:rsidRPr="008D26DA" w:rsidRDefault="008D26DA" w:rsidP="008D26DA">
      <w:pPr>
        <w:spacing w:before="100" w:beforeAutospacing="1" w:after="100" w:afterAutospacing="1" w:line="360" w:lineRule="auto"/>
        <w:rPr>
          <w:sz w:val="20"/>
          <w:szCs w:val="20"/>
        </w:rPr>
      </w:pPr>
      <w:r w:rsidRPr="008D26DA">
        <w:rPr>
          <w:sz w:val="20"/>
          <w:szCs w:val="20"/>
        </w:rPr>
        <w:t>Crucially, the three different products can be used seamlessly in the same project. In this way, a façade with a uniform colour can meet a variety of different technical challenges. A building that is oriented in different directions can be equipped with various types of solar control glass products displaying a uniform appearance. For architects and planners, these properties result in very special design options.</w:t>
      </w:r>
    </w:p>
    <w:p w14:paraId="304470CF" w14:textId="77777777" w:rsidR="008D26DA" w:rsidRPr="008D26DA" w:rsidRDefault="008D26DA" w:rsidP="008D26DA">
      <w:pPr>
        <w:spacing w:before="100" w:beforeAutospacing="1" w:after="100" w:afterAutospacing="1" w:line="360" w:lineRule="auto"/>
        <w:rPr>
          <w:sz w:val="20"/>
          <w:szCs w:val="20"/>
        </w:rPr>
      </w:pPr>
      <w:r w:rsidRPr="008D26DA">
        <w:rPr>
          <w:sz w:val="20"/>
          <w:szCs w:val="20"/>
        </w:rPr>
        <w:t xml:space="preserve">The Pilkington </w:t>
      </w:r>
      <w:r w:rsidRPr="008D26DA">
        <w:rPr>
          <w:b/>
          <w:bCs/>
          <w:sz w:val="20"/>
          <w:szCs w:val="20"/>
        </w:rPr>
        <w:t>Suncool™</w:t>
      </w:r>
      <w:r w:rsidRPr="008D26DA">
        <w:rPr>
          <w:sz w:val="20"/>
          <w:szCs w:val="20"/>
        </w:rPr>
        <w:t xml:space="preserve"> Q range can also be combined with other Pilkington glass products and thus offer extended functionalities. </w:t>
      </w:r>
    </w:p>
    <w:p w14:paraId="4CA88945" w14:textId="77777777" w:rsidR="008D26DA" w:rsidRPr="008D26DA" w:rsidRDefault="008D26DA" w:rsidP="008D26DA">
      <w:pPr>
        <w:spacing w:before="100" w:beforeAutospacing="1" w:after="100" w:afterAutospacing="1" w:line="360" w:lineRule="auto"/>
        <w:rPr>
          <w:sz w:val="20"/>
          <w:szCs w:val="20"/>
        </w:rPr>
      </w:pPr>
      <w:r w:rsidRPr="008D26DA">
        <w:rPr>
          <w:sz w:val="20"/>
          <w:szCs w:val="20"/>
        </w:rPr>
        <w:t>Builders and architects can choose from a wide range of products to find individual solutions for modern buildings. In this way, structural requirements can be addressed flexibly and the comfort for occupants can be maximised.</w:t>
      </w:r>
    </w:p>
    <w:p w14:paraId="78A6EE42" w14:textId="77777777" w:rsidR="008D26DA" w:rsidRPr="008D26DA" w:rsidRDefault="008D26DA" w:rsidP="008D26DA">
      <w:pPr>
        <w:spacing w:before="100" w:beforeAutospacing="1" w:after="100" w:afterAutospacing="1" w:line="360" w:lineRule="auto"/>
        <w:rPr>
          <w:sz w:val="20"/>
          <w:szCs w:val="20"/>
        </w:rPr>
      </w:pPr>
      <w:r w:rsidRPr="008D26DA">
        <w:rPr>
          <w:sz w:val="20"/>
          <w:szCs w:val="20"/>
        </w:rPr>
        <w:t xml:space="preserve">More information on the Pilkington </w:t>
      </w:r>
      <w:r w:rsidRPr="008D26DA">
        <w:rPr>
          <w:b/>
          <w:sz w:val="20"/>
          <w:szCs w:val="20"/>
        </w:rPr>
        <w:t>Suncool™</w:t>
      </w:r>
      <w:r w:rsidRPr="008D26DA">
        <w:rPr>
          <w:sz w:val="20"/>
          <w:szCs w:val="20"/>
        </w:rPr>
        <w:t xml:space="preserve"> Q range can be found here:</w:t>
      </w:r>
    </w:p>
    <w:p w14:paraId="370F6425" w14:textId="494B864F" w:rsidR="008D26DA" w:rsidRPr="008D26DA" w:rsidRDefault="0033368D" w:rsidP="008D26DA">
      <w:pPr>
        <w:spacing w:before="100" w:beforeAutospacing="1" w:after="100" w:afterAutospacing="1" w:line="360" w:lineRule="auto"/>
        <w:rPr>
          <w:sz w:val="20"/>
          <w:szCs w:val="20"/>
        </w:rPr>
      </w:pPr>
      <w:hyperlink r:id="rId7" w:history="1">
        <w:r w:rsidR="008D26DA" w:rsidRPr="00A35A96">
          <w:rPr>
            <w:rStyle w:val="Hipercze"/>
            <w:sz w:val="20"/>
            <w:szCs w:val="20"/>
          </w:rPr>
          <w:t>https://www.pilkington.com/en/global/products/product-categories/solar-control/pilkington-suncool-range/pilkington-suncool-q</w:t>
        </w:r>
      </w:hyperlink>
      <w:r w:rsidR="008D26DA">
        <w:rPr>
          <w:sz w:val="20"/>
          <w:szCs w:val="20"/>
        </w:rPr>
        <w:t xml:space="preserve"> </w:t>
      </w:r>
    </w:p>
    <w:p w14:paraId="05B652B7" w14:textId="77777777" w:rsidR="001B2782" w:rsidRDefault="00244341" w:rsidP="008D26DA">
      <w:pPr>
        <w:spacing w:before="100" w:beforeAutospacing="1" w:after="100" w:afterAutospacing="1"/>
        <w:jc w:val="center"/>
        <w:rPr>
          <w:rFonts w:eastAsia="MS Mincho" w:cs="Tahoma"/>
          <w:b/>
          <w:bCs/>
          <w:sz w:val="20"/>
          <w:szCs w:val="20"/>
          <w:lang w:eastAsia="ja-JP"/>
        </w:rPr>
      </w:pPr>
      <w:r w:rsidRPr="001B2782">
        <w:rPr>
          <w:rFonts w:eastAsia="MS Mincho" w:cs="Tahoma"/>
          <w:b/>
          <w:bCs/>
          <w:sz w:val="20"/>
          <w:szCs w:val="20"/>
          <w:lang w:eastAsia="ja-JP"/>
        </w:rPr>
        <w:t>END</w:t>
      </w:r>
    </w:p>
    <w:p w14:paraId="3F131219" w14:textId="38DD1695" w:rsidR="009D0B6A" w:rsidRDefault="009D0B6A">
      <w:pPr>
        <w:spacing w:after="0" w:line="240" w:lineRule="auto"/>
        <w:rPr>
          <w:b/>
          <w:szCs w:val="18"/>
        </w:rPr>
      </w:pPr>
    </w:p>
    <w:p w14:paraId="1A17C63E" w14:textId="5ECED01F" w:rsidR="000D386D" w:rsidRPr="001B2782" w:rsidRDefault="00244341">
      <w:pPr>
        <w:rPr>
          <w:b/>
          <w:szCs w:val="18"/>
        </w:rPr>
      </w:pPr>
      <w:r w:rsidRPr="001B2782">
        <w:rPr>
          <w:b/>
          <w:szCs w:val="18"/>
        </w:rPr>
        <w:t>Note to Editors</w:t>
      </w:r>
      <w:r w:rsidR="00804B26" w:rsidRPr="001B2782">
        <w:rPr>
          <w:b/>
          <w:szCs w:val="18"/>
        </w:rPr>
        <w:t>:</w:t>
      </w:r>
    </w:p>
    <w:p w14:paraId="7444C5D1" w14:textId="77777777" w:rsidR="00244341" w:rsidRPr="001B2782" w:rsidRDefault="00244341" w:rsidP="001B2782">
      <w:pPr>
        <w:jc w:val="both"/>
        <w:rPr>
          <w:rFonts w:cs="Tahoma"/>
          <w:b/>
          <w:bCs/>
          <w:szCs w:val="18"/>
          <w:lang w:val="en-US"/>
        </w:rPr>
      </w:pPr>
      <w:r w:rsidRPr="001B2782">
        <w:rPr>
          <w:rFonts w:cs="Tahoma"/>
          <w:b/>
          <w:bCs/>
          <w:szCs w:val="18"/>
          <w:lang w:val="en-US"/>
        </w:rPr>
        <w:t xml:space="preserve">About the NSG Group (Nippon Sheet Glass Co., </w:t>
      </w:r>
      <w:proofErr w:type="gramStart"/>
      <w:r w:rsidRPr="001B2782">
        <w:rPr>
          <w:rFonts w:cs="Tahoma"/>
          <w:b/>
          <w:bCs/>
          <w:szCs w:val="18"/>
          <w:lang w:val="en-US"/>
        </w:rPr>
        <w:t>Ltd.</w:t>
      </w:r>
      <w:proofErr w:type="gramEnd"/>
      <w:r w:rsidRPr="001B2782">
        <w:rPr>
          <w:rFonts w:cs="Tahoma"/>
          <w:b/>
          <w:bCs/>
          <w:szCs w:val="18"/>
          <w:lang w:val="en-US"/>
        </w:rPr>
        <w:t xml:space="preserve"> and its group companies)</w:t>
      </w:r>
    </w:p>
    <w:p w14:paraId="0E063AE2" w14:textId="6EFAA9BD" w:rsidR="00244341" w:rsidRPr="001B2782" w:rsidRDefault="00244341" w:rsidP="001B2782">
      <w:pPr>
        <w:jc w:val="both"/>
        <w:rPr>
          <w:rFonts w:cs="Tahoma"/>
          <w:szCs w:val="18"/>
          <w:lang w:val="en-US"/>
        </w:rPr>
      </w:pPr>
      <w:r w:rsidRPr="001B2782">
        <w:rPr>
          <w:rFonts w:cs="Tahoma"/>
          <w:szCs w:val="18"/>
          <w:lang w:val="en-US"/>
        </w:rPr>
        <w:t>The NSG Group is the world's leading supplier of glass and glazing systems in the business areas of Architectural, Automotive and Creative Technology. In 2006 it acquired the leading global glass supplier, Pilkington, and today, the Group has principal operations around the world and sales in over 100 countries.</w:t>
      </w:r>
      <w:r w:rsidR="001B2782" w:rsidRPr="001B2782">
        <w:rPr>
          <w:rFonts w:cs="Tahoma"/>
          <w:szCs w:val="18"/>
          <w:lang w:val="en-US"/>
        </w:rPr>
        <w:t xml:space="preserve"> </w:t>
      </w:r>
      <w:r w:rsidRPr="001B2782">
        <w:rPr>
          <w:rFonts w:cs="Tahoma"/>
          <w:szCs w:val="18"/>
          <w:lang w:val="en-US"/>
        </w:rPr>
        <w:t>Architectural manufactures and supplies architectural glass as well as glass for the solar energy and other sectors.</w:t>
      </w:r>
      <w:r w:rsidR="001B2782" w:rsidRPr="001B2782">
        <w:rPr>
          <w:rFonts w:cs="Tahoma"/>
          <w:szCs w:val="18"/>
          <w:lang w:val="en-US"/>
        </w:rPr>
        <w:t xml:space="preserve"> </w:t>
      </w:r>
      <w:r w:rsidRPr="001B2782">
        <w:rPr>
          <w:rFonts w:cs="Tahoma"/>
          <w:szCs w:val="18"/>
          <w:lang w:val="en-US"/>
        </w:rPr>
        <w:t>Automotive serves the original equipment (OE) and aftermarket replacement (AGR) glazing markets.</w:t>
      </w:r>
      <w:r w:rsidR="001B2782" w:rsidRPr="001B2782">
        <w:rPr>
          <w:rFonts w:cs="Tahoma"/>
          <w:szCs w:val="18"/>
          <w:lang w:val="en-US"/>
        </w:rPr>
        <w:t xml:space="preserve"> </w:t>
      </w:r>
      <w:r w:rsidRPr="001B2782">
        <w:rPr>
          <w:rFonts w:cs="Tahoma"/>
          <w:szCs w:val="18"/>
          <w:lang w:val="en-US"/>
        </w:rPr>
        <w:t>Creative Technology comprises several discrete businesses, including lenses and light guides for printers and scanners, and specialty glass fiber products such as glass cord for timing belts and glass flake.</w:t>
      </w:r>
    </w:p>
    <w:p w14:paraId="292B222E" w14:textId="5A256A65" w:rsidR="001B2782" w:rsidRDefault="001B2782" w:rsidP="001B2782">
      <w:pPr>
        <w:jc w:val="both"/>
        <w:rPr>
          <w:rFonts w:cs="Tahoma"/>
          <w:color w:val="1F497D"/>
          <w:szCs w:val="18"/>
          <w:lang w:val="en-US"/>
        </w:rPr>
      </w:pPr>
      <w:r w:rsidRPr="001B2782">
        <w:rPr>
          <w:rFonts w:cs="Tahoma"/>
          <w:szCs w:val="18"/>
          <w:lang w:val="en-US"/>
        </w:rPr>
        <w:t xml:space="preserve">For more information about NSG Group visit: </w:t>
      </w:r>
      <w:hyperlink r:id="rId8" w:history="1">
        <w:r w:rsidRPr="001B2782">
          <w:rPr>
            <w:rStyle w:val="Hipercze"/>
            <w:rFonts w:cs="Tahoma"/>
            <w:b/>
            <w:bCs/>
            <w:szCs w:val="18"/>
            <w:lang w:val="en-US"/>
          </w:rPr>
          <w:t>www.nsg.com</w:t>
        </w:r>
      </w:hyperlink>
    </w:p>
    <w:p w14:paraId="79B90C1E" w14:textId="67874641" w:rsidR="000D386D" w:rsidRDefault="001B2782">
      <w:pPr>
        <w:rPr>
          <w:rStyle w:val="Hipercze"/>
          <w:b/>
          <w:bCs/>
          <w:szCs w:val="18"/>
        </w:rPr>
      </w:pPr>
      <w:r w:rsidRPr="007E4F0B">
        <w:rPr>
          <w:rFonts w:cs="Tahoma"/>
          <w:szCs w:val="18"/>
        </w:rPr>
        <w:t xml:space="preserve">For more information about Pilkington </w:t>
      </w:r>
      <w:r w:rsidR="007E4F0B" w:rsidRPr="007E4F0B">
        <w:rPr>
          <w:rFonts w:cs="Tahoma"/>
          <w:szCs w:val="18"/>
        </w:rPr>
        <w:t>glass products visit</w:t>
      </w:r>
      <w:r w:rsidRPr="007E4F0B">
        <w:rPr>
          <w:rFonts w:cs="Tahoma"/>
          <w:szCs w:val="18"/>
        </w:rPr>
        <w:t xml:space="preserve">: </w:t>
      </w:r>
      <w:hyperlink r:id="rId9" w:history="1">
        <w:r w:rsidR="009C594B" w:rsidRPr="003A2B5D">
          <w:rPr>
            <w:rStyle w:val="Hipercze"/>
            <w:b/>
            <w:bCs/>
            <w:szCs w:val="18"/>
          </w:rPr>
          <w:t>www.pilkington.com</w:t>
        </w:r>
      </w:hyperlink>
    </w:p>
    <w:sectPr w:rsidR="000D386D">
      <w:headerReference w:type="default" r:id="rId10"/>
      <w:footerReference w:type="default" r:id="rId11"/>
      <w:pgSz w:w="11906" w:h="16838"/>
      <w:pgMar w:top="3119" w:right="1021" w:bottom="1440" w:left="2155" w:header="709" w:footer="3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4F76D" w14:textId="77777777" w:rsidR="0033368D" w:rsidRDefault="0033368D">
      <w:pPr>
        <w:spacing w:after="0" w:line="240" w:lineRule="auto"/>
      </w:pPr>
      <w:r>
        <w:separator/>
      </w:r>
    </w:p>
  </w:endnote>
  <w:endnote w:type="continuationSeparator" w:id="0">
    <w:p w14:paraId="0199F259" w14:textId="77777777" w:rsidR="0033368D" w:rsidRDefault="0033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TT)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0C8C4" w14:textId="76F05FB1" w:rsidR="000D386D" w:rsidRDefault="00804B26" w:rsidP="007E4F0B">
    <w:pPr>
      <w:pStyle w:val="Stopka"/>
      <w:jc w:val="right"/>
      <w:rPr>
        <w:b/>
        <w:sz w:val="15"/>
        <w:szCs w:val="15"/>
      </w:rPr>
    </w:pPr>
    <w:r>
      <w:rPr>
        <w:rFonts w:cs="Tahoma"/>
        <w:b/>
        <w:sz w:val="15"/>
        <w:szCs w:val="15"/>
        <w:lang w:val="en-US"/>
      </w:rPr>
      <w:br/>
    </w:r>
    <w:r w:rsidR="007E4F0B">
      <w:rPr>
        <w:rFonts w:cs="Tahoma"/>
        <w:b/>
        <w:sz w:val="15"/>
        <w:szCs w:val="15"/>
        <w:lang w:val="en-US"/>
      </w:rPr>
      <w:t>www.pilkington.com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B4015" w14:textId="77777777" w:rsidR="0033368D" w:rsidRDefault="0033368D">
      <w:pPr>
        <w:spacing w:after="0" w:line="240" w:lineRule="auto"/>
      </w:pPr>
      <w:r>
        <w:separator/>
      </w:r>
    </w:p>
  </w:footnote>
  <w:footnote w:type="continuationSeparator" w:id="0">
    <w:p w14:paraId="60290EB7" w14:textId="77777777" w:rsidR="0033368D" w:rsidRDefault="0033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1808" w14:textId="77777777" w:rsidR="000D386D" w:rsidRDefault="00804B26">
    <w:pPr>
      <w:pStyle w:val="Nagwek"/>
    </w:pPr>
    <w:r>
      <w:rPr>
        <w:noProof/>
      </w:rPr>
      <w:drawing>
        <wp:anchor distT="0" distB="0" distL="0" distR="0" simplePos="0" relativeHeight="4" behindDoc="1" locked="0" layoutInCell="0" allowOverlap="1" wp14:anchorId="0FAA819D" wp14:editId="1B3B1172">
          <wp:simplePos x="0" y="0"/>
          <wp:positionH relativeFrom="margin">
            <wp:posOffset>-1370965</wp:posOffset>
          </wp:positionH>
          <wp:positionV relativeFrom="margin">
            <wp:posOffset>-2067560</wp:posOffset>
          </wp:positionV>
          <wp:extent cx="7559040" cy="10687685"/>
          <wp:effectExtent l="0" t="0" r="0" b="0"/>
          <wp:wrapNone/>
          <wp:docPr id="1" name="WordPictureWatermark24971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9717245"/>
                  <pic:cNvPicPr>
                    <a:picLocks noChangeAspect="1" noChangeArrowheads="1"/>
                  </pic:cNvPicPr>
                </pic:nvPicPr>
                <pic:blipFill>
                  <a:blip r:embed="rId1"/>
                  <a:stretch>
                    <a:fillRect/>
                  </a:stretch>
                </pic:blipFill>
                <pic:spPr bwMode="auto">
                  <a:xfrm>
                    <a:off x="0" y="0"/>
                    <a:ext cx="7559040" cy="106876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6D"/>
    <w:rsid w:val="00032A2B"/>
    <w:rsid w:val="00046F91"/>
    <w:rsid w:val="00051D2B"/>
    <w:rsid w:val="00085CC6"/>
    <w:rsid w:val="000979EE"/>
    <w:rsid w:val="000B0DAD"/>
    <w:rsid w:val="000C3276"/>
    <w:rsid w:val="000D386D"/>
    <w:rsid w:val="0011225F"/>
    <w:rsid w:val="00113149"/>
    <w:rsid w:val="00133B81"/>
    <w:rsid w:val="001578E9"/>
    <w:rsid w:val="001629B7"/>
    <w:rsid w:val="00185F86"/>
    <w:rsid w:val="001A1C2C"/>
    <w:rsid w:val="001A5FE0"/>
    <w:rsid w:val="001A7296"/>
    <w:rsid w:val="001B2782"/>
    <w:rsid w:val="001B4064"/>
    <w:rsid w:val="001F413D"/>
    <w:rsid w:val="00202DFA"/>
    <w:rsid w:val="00207DA4"/>
    <w:rsid w:val="00222B61"/>
    <w:rsid w:val="00231E9B"/>
    <w:rsid w:val="00242DAC"/>
    <w:rsid w:val="00243051"/>
    <w:rsid w:val="00244341"/>
    <w:rsid w:val="00290039"/>
    <w:rsid w:val="002B1617"/>
    <w:rsid w:val="002B4F56"/>
    <w:rsid w:val="002D7A16"/>
    <w:rsid w:val="002E73EE"/>
    <w:rsid w:val="002F215B"/>
    <w:rsid w:val="0033368D"/>
    <w:rsid w:val="00377071"/>
    <w:rsid w:val="00380BA2"/>
    <w:rsid w:val="003A5AC2"/>
    <w:rsid w:val="003A7702"/>
    <w:rsid w:val="003C5444"/>
    <w:rsid w:val="00403434"/>
    <w:rsid w:val="00456088"/>
    <w:rsid w:val="004A37CB"/>
    <w:rsid w:val="004C48FB"/>
    <w:rsid w:val="004D114E"/>
    <w:rsid w:val="004D1A54"/>
    <w:rsid w:val="0051089C"/>
    <w:rsid w:val="00510DF7"/>
    <w:rsid w:val="00545146"/>
    <w:rsid w:val="005501CC"/>
    <w:rsid w:val="0057165F"/>
    <w:rsid w:val="0058069A"/>
    <w:rsid w:val="00581869"/>
    <w:rsid w:val="00594108"/>
    <w:rsid w:val="00595CFD"/>
    <w:rsid w:val="005B1CB1"/>
    <w:rsid w:val="005B531E"/>
    <w:rsid w:val="005E362D"/>
    <w:rsid w:val="005E681B"/>
    <w:rsid w:val="00603E1F"/>
    <w:rsid w:val="00616DF3"/>
    <w:rsid w:val="00642010"/>
    <w:rsid w:val="00643191"/>
    <w:rsid w:val="00662510"/>
    <w:rsid w:val="00667880"/>
    <w:rsid w:val="006846A3"/>
    <w:rsid w:val="006B4893"/>
    <w:rsid w:val="006D4133"/>
    <w:rsid w:val="006F591B"/>
    <w:rsid w:val="0071236A"/>
    <w:rsid w:val="00745209"/>
    <w:rsid w:val="007471AC"/>
    <w:rsid w:val="00747571"/>
    <w:rsid w:val="00797918"/>
    <w:rsid w:val="007A0C41"/>
    <w:rsid w:val="007A720F"/>
    <w:rsid w:val="007C132D"/>
    <w:rsid w:val="007E476B"/>
    <w:rsid w:val="007E4F0B"/>
    <w:rsid w:val="007F02EB"/>
    <w:rsid w:val="00802369"/>
    <w:rsid w:val="00804B26"/>
    <w:rsid w:val="00821367"/>
    <w:rsid w:val="00823E3D"/>
    <w:rsid w:val="00824690"/>
    <w:rsid w:val="008530D9"/>
    <w:rsid w:val="0086744E"/>
    <w:rsid w:val="0088482D"/>
    <w:rsid w:val="008A7409"/>
    <w:rsid w:val="008B1A71"/>
    <w:rsid w:val="008C4CE0"/>
    <w:rsid w:val="008C6531"/>
    <w:rsid w:val="008D26DA"/>
    <w:rsid w:val="008E4449"/>
    <w:rsid w:val="008F4567"/>
    <w:rsid w:val="009030B6"/>
    <w:rsid w:val="009504AD"/>
    <w:rsid w:val="00956C29"/>
    <w:rsid w:val="00961C4B"/>
    <w:rsid w:val="00987C8A"/>
    <w:rsid w:val="009939D0"/>
    <w:rsid w:val="009965F2"/>
    <w:rsid w:val="009B62D7"/>
    <w:rsid w:val="009C594B"/>
    <w:rsid w:val="009D0B6A"/>
    <w:rsid w:val="009D4AB3"/>
    <w:rsid w:val="009F5737"/>
    <w:rsid w:val="00A04451"/>
    <w:rsid w:val="00A13CD3"/>
    <w:rsid w:val="00A9463A"/>
    <w:rsid w:val="00AB28EB"/>
    <w:rsid w:val="00B253A7"/>
    <w:rsid w:val="00B44B31"/>
    <w:rsid w:val="00B957AF"/>
    <w:rsid w:val="00BF32D0"/>
    <w:rsid w:val="00C019F9"/>
    <w:rsid w:val="00C04F14"/>
    <w:rsid w:val="00C1621A"/>
    <w:rsid w:val="00C23D48"/>
    <w:rsid w:val="00C27906"/>
    <w:rsid w:val="00C73D1E"/>
    <w:rsid w:val="00C76851"/>
    <w:rsid w:val="00CA6BC3"/>
    <w:rsid w:val="00CB0699"/>
    <w:rsid w:val="00CC3932"/>
    <w:rsid w:val="00CE19DB"/>
    <w:rsid w:val="00D01449"/>
    <w:rsid w:val="00D12D84"/>
    <w:rsid w:val="00D16317"/>
    <w:rsid w:val="00D464D8"/>
    <w:rsid w:val="00D5658E"/>
    <w:rsid w:val="00D7698B"/>
    <w:rsid w:val="00D9265B"/>
    <w:rsid w:val="00D96441"/>
    <w:rsid w:val="00D97B7C"/>
    <w:rsid w:val="00DB24D3"/>
    <w:rsid w:val="00DE0BF3"/>
    <w:rsid w:val="00DE5BDF"/>
    <w:rsid w:val="00DE7215"/>
    <w:rsid w:val="00E109C4"/>
    <w:rsid w:val="00E219D4"/>
    <w:rsid w:val="00E24F53"/>
    <w:rsid w:val="00E34B26"/>
    <w:rsid w:val="00E54B9F"/>
    <w:rsid w:val="00E55A04"/>
    <w:rsid w:val="00E55C38"/>
    <w:rsid w:val="00E71F62"/>
    <w:rsid w:val="00E86C28"/>
    <w:rsid w:val="00EA31D2"/>
    <w:rsid w:val="00EB6B0A"/>
    <w:rsid w:val="00ED5ACC"/>
    <w:rsid w:val="00EF7F96"/>
    <w:rsid w:val="00F26518"/>
    <w:rsid w:val="00F30BC3"/>
    <w:rsid w:val="00F4728D"/>
    <w:rsid w:val="00F5575D"/>
    <w:rsid w:val="00F70396"/>
    <w:rsid w:val="00F90873"/>
    <w:rsid w:val="00FD2E05"/>
    <w:rsid w:val="00FD37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B3897"/>
  <w15:docId w15:val="{E96A2D60-251C-4AB3-B218-28FB30D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4B"/>
    <w:pPr>
      <w:spacing w:after="200" w:line="276" w:lineRule="auto"/>
    </w:pPr>
    <w:rPr>
      <w:rFonts w:ascii="Tahoma" w:hAnsi="Tahoma"/>
      <w:sz w:val="18"/>
      <w:szCs w:val="22"/>
      <w:lang w:val="en-GB" w:eastAsia="en-US"/>
    </w:rPr>
  </w:style>
  <w:style w:type="paragraph" w:styleId="Nagwek1">
    <w:name w:val="heading 1"/>
    <w:basedOn w:val="Normalny"/>
    <w:next w:val="Normalny"/>
    <w:link w:val="Nagwek1Znak"/>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Nagwek2">
    <w:name w:val="heading 2"/>
    <w:basedOn w:val="Normalny"/>
    <w:next w:val="Normalny"/>
    <w:link w:val="Nagwek2Znak"/>
    <w:uiPriority w:val="9"/>
    <w:qFormat/>
    <w:rsid w:val="00BD717D"/>
    <w:pPr>
      <w:keepNext/>
      <w:keepLines/>
      <w:spacing w:before="240" w:after="120"/>
      <w:outlineLvl w:val="1"/>
    </w:pPr>
    <w:rPr>
      <w:rFonts w:eastAsia="Times New Roman"/>
      <w:b/>
      <w:bCs/>
      <w:sz w:val="20"/>
      <w:szCs w:val="26"/>
      <w:lang w:val="x-none" w:eastAsia="x-none"/>
    </w:rPr>
  </w:style>
  <w:style w:type="paragraph" w:styleId="Nagwek3">
    <w:name w:val="heading 3"/>
    <w:basedOn w:val="Normalny"/>
    <w:next w:val="Normalny"/>
    <w:link w:val="Nagwek3Znak"/>
    <w:uiPriority w:val="9"/>
    <w:semiHidden/>
    <w:unhideWhenUsed/>
    <w:qFormat/>
    <w:rsid w:val="00ED3056"/>
    <w:pPr>
      <w:keepNext/>
      <w:spacing w:before="240" w:after="60"/>
      <w:outlineLvl w:val="2"/>
    </w:pPr>
    <w:rPr>
      <w:rFonts w:ascii="Cambria" w:eastAsia="Times New Roman" w:hAnsi="Cambria"/>
      <w:b/>
      <w:bCs/>
      <w:sz w:val="26"/>
      <w:szCs w:val="26"/>
      <w:lang w:val="it-IT"/>
    </w:rPr>
  </w:style>
  <w:style w:type="paragraph" w:styleId="Nagwek7">
    <w:name w:val="heading 7"/>
    <w:basedOn w:val="Normalny"/>
    <w:next w:val="Normalny"/>
    <w:link w:val="Nagwek7Znak"/>
    <w:uiPriority w:val="9"/>
    <w:qFormat/>
    <w:rsid w:val="00F1282E"/>
    <w:pPr>
      <w:spacing w:before="240" w:after="60"/>
      <w:outlineLvl w:val="6"/>
    </w:pPr>
    <w:rPr>
      <w:rFonts w:ascii="Calibri" w:eastAsia="Times New Roman"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D214B"/>
  </w:style>
  <w:style w:type="character" w:customStyle="1" w:styleId="StopkaZnak">
    <w:name w:val="Stopka Znak"/>
    <w:basedOn w:val="Domylnaczcionkaakapitu"/>
    <w:link w:val="Stopka"/>
    <w:uiPriority w:val="99"/>
    <w:qFormat/>
    <w:rsid w:val="00BD214B"/>
  </w:style>
  <w:style w:type="character" w:customStyle="1" w:styleId="TekstdymkaZnak">
    <w:name w:val="Tekst dymka Znak"/>
    <w:link w:val="Tekstdymka"/>
    <w:uiPriority w:val="99"/>
    <w:semiHidden/>
    <w:qFormat/>
    <w:rsid w:val="006A071A"/>
    <w:rPr>
      <w:rFonts w:ascii="Tahoma" w:hAnsi="Tahoma" w:cs="Tahoma"/>
      <w:sz w:val="16"/>
      <w:szCs w:val="16"/>
    </w:rPr>
  </w:style>
  <w:style w:type="character" w:customStyle="1" w:styleId="Nagwek1Znak">
    <w:name w:val="Nagłówek 1 Znak"/>
    <w:link w:val="Nagwek1"/>
    <w:uiPriority w:val="9"/>
    <w:qFormat/>
    <w:rsid w:val="00AF59B0"/>
    <w:rPr>
      <w:rFonts w:ascii="Tahoma" w:eastAsia="Times New Roman" w:hAnsi="Tahoma" w:cs="Times New Roman"/>
      <w:b/>
      <w:bCs/>
      <w:color w:val="000000"/>
      <w:sz w:val="20"/>
      <w:szCs w:val="28"/>
      <w:u w:val="single"/>
    </w:rPr>
  </w:style>
  <w:style w:type="character" w:customStyle="1" w:styleId="Nagwek2Znak">
    <w:name w:val="Nagłówek 2 Znak"/>
    <w:link w:val="Nagwek2"/>
    <w:uiPriority w:val="9"/>
    <w:qFormat/>
    <w:rsid w:val="00BD717D"/>
    <w:rPr>
      <w:rFonts w:ascii="Tahoma" w:eastAsia="Times New Roman" w:hAnsi="Tahoma" w:cs="Times New Roman"/>
      <w:b/>
      <w:bCs/>
      <w:sz w:val="20"/>
      <w:szCs w:val="26"/>
    </w:rPr>
  </w:style>
  <w:style w:type="character" w:styleId="Pogrubienie">
    <w:name w:val="Strong"/>
    <w:uiPriority w:val="22"/>
    <w:qFormat/>
    <w:rsid w:val="00A5392B"/>
    <w:rPr>
      <w:b/>
      <w:bCs/>
    </w:rPr>
  </w:style>
  <w:style w:type="character" w:customStyle="1" w:styleId="Nagwek7Znak">
    <w:name w:val="Nagłówek 7 Znak"/>
    <w:link w:val="Nagwek7"/>
    <w:uiPriority w:val="9"/>
    <w:semiHidden/>
    <w:qFormat/>
    <w:rsid w:val="00F1282E"/>
    <w:rPr>
      <w:rFonts w:ascii="Calibri" w:eastAsia="Times New Roman" w:hAnsi="Calibri" w:cs="Times New Roman"/>
      <w:sz w:val="24"/>
      <w:szCs w:val="24"/>
      <w:lang w:val="en-GB" w:eastAsia="en-US"/>
    </w:rPr>
  </w:style>
  <w:style w:type="character" w:styleId="Hipercze">
    <w:name w:val="Hyperlink"/>
    <w:rsid w:val="00F1282E"/>
    <w:rPr>
      <w:color w:val="0000FF"/>
      <w:u w:val="single"/>
    </w:rPr>
  </w:style>
  <w:style w:type="character" w:customStyle="1" w:styleId="apple-converted-space">
    <w:name w:val="apple-converted-space"/>
    <w:basedOn w:val="Domylnaczcionkaakapitu"/>
    <w:qFormat/>
    <w:rsid w:val="00EC63FA"/>
  </w:style>
  <w:style w:type="character" w:customStyle="1" w:styleId="Nagwek3Znak">
    <w:name w:val="Nagłówek 3 Znak"/>
    <w:link w:val="Nagwek3"/>
    <w:uiPriority w:val="9"/>
    <w:semiHidden/>
    <w:qFormat/>
    <w:rsid w:val="00ED3056"/>
    <w:rPr>
      <w:rFonts w:ascii="Cambria" w:eastAsia="Times New Roman" w:hAnsi="Cambria"/>
      <w:b/>
      <w:bCs/>
      <w:sz w:val="26"/>
      <w:szCs w:val="26"/>
      <w:lang w:eastAsia="en-US"/>
    </w:rPr>
  </w:style>
  <w:style w:type="character" w:customStyle="1" w:styleId="hps">
    <w:name w:val="hps"/>
    <w:basedOn w:val="Domylnaczcionkaakapitu"/>
    <w:qFormat/>
    <w:rsid w:val="000240DF"/>
  </w:style>
  <w:style w:type="character" w:styleId="Uwydatnienie">
    <w:name w:val="Emphasis"/>
    <w:uiPriority w:val="20"/>
    <w:qFormat/>
    <w:rsid w:val="00E330A0"/>
    <w:rPr>
      <w:i/>
      <w:iCs/>
    </w:rPr>
  </w:style>
  <w:style w:type="character" w:styleId="Nierozpoznanawzmianka">
    <w:name w:val="Unresolved Mention"/>
    <w:uiPriority w:val="99"/>
    <w:semiHidden/>
    <w:unhideWhenUsed/>
    <w:qFormat/>
    <w:rsid w:val="002A1738"/>
    <w:rPr>
      <w:color w:val="808080"/>
      <w:shd w:val="clear" w:color="auto" w:fill="E6E6E6"/>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BD214B"/>
    <w:pPr>
      <w:tabs>
        <w:tab w:val="center" w:pos="4513"/>
        <w:tab w:val="right" w:pos="9026"/>
      </w:tabs>
      <w:spacing w:after="0" w:line="240" w:lineRule="auto"/>
    </w:pPr>
  </w:style>
  <w:style w:type="paragraph" w:styleId="Stopka">
    <w:name w:val="footer"/>
    <w:basedOn w:val="Normalny"/>
    <w:link w:val="StopkaZnak"/>
    <w:uiPriority w:val="99"/>
    <w:unhideWhenUsed/>
    <w:rsid w:val="00BD214B"/>
    <w:pPr>
      <w:tabs>
        <w:tab w:val="center" w:pos="4513"/>
        <w:tab w:val="right" w:pos="9026"/>
      </w:tabs>
      <w:spacing w:after="0" w:line="240" w:lineRule="auto"/>
    </w:pPr>
  </w:style>
  <w:style w:type="paragraph" w:customStyle="1" w:styleId="BasicParagraph">
    <w:name w:val="[Basic Paragraph]"/>
    <w:basedOn w:val="Normalny"/>
    <w:uiPriority w:val="99"/>
    <w:qFormat/>
    <w:rsid w:val="00BD214B"/>
    <w:pPr>
      <w:spacing w:after="0" w:line="288" w:lineRule="auto"/>
      <w:textAlignment w:val="center"/>
    </w:pPr>
    <w:rPr>
      <w:rFonts w:ascii="Times (TT) Regular" w:hAnsi="Times (TT) Regular" w:cs="Times (TT) Regular"/>
      <w:color w:val="000000"/>
      <w:sz w:val="24"/>
      <w:szCs w:val="24"/>
    </w:rPr>
  </w:style>
  <w:style w:type="paragraph" w:styleId="Tekstdymka">
    <w:name w:val="Balloon Text"/>
    <w:basedOn w:val="Normalny"/>
    <w:link w:val="TekstdymkaZnak"/>
    <w:uiPriority w:val="99"/>
    <w:semiHidden/>
    <w:unhideWhenUsed/>
    <w:qFormat/>
    <w:rsid w:val="006A071A"/>
    <w:pPr>
      <w:spacing w:after="0" w:line="240" w:lineRule="auto"/>
    </w:pPr>
    <w:rPr>
      <w:sz w:val="16"/>
      <w:szCs w:val="16"/>
      <w:lang w:val="x-none" w:eastAsia="x-none"/>
    </w:rPr>
  </w:style>
  <w:style w:type="paragraph" w:styleId="NormalnyWeb">
    <w:name w:val="Normal (Web)"/>
    <w:basedOn w:val="Normalny"/>
    <w:uiPriority w:val="99"/>
    <w:unhideWhenUsed/>
    <w:qFormat/>
    <w:rsid w:val="00F1282E"/>
    <w:pPr>
      <w:spacing w:beforeAutospacing="1" w:afterAutospacing="1" w:line="240" w:lineRule="auto"/>
    </w:pPr>
    <w:rPr>
      <w:rFonts w:ascii="Arial" w:eastAsia="Times New Roman" w:hAnsi="Arial" w:cs="Arial"/>
      <w:sz w:val="17"/>
      <w:szCs w:val="17"/>
      <w:lang w:val="it-IT" w:eastAsia="it-IT"/>
    </w:rPr>
  </w:style>
  <w:style w:type="paragraph" w:customStyle="1" w:styleId="nessunostileparagrafo">
    <w:name w:val="nessunostileparagrafo"/>
    <w:basedOn w:val="Normalny"/>
    <w:qFormat/>
    <w:rsid w:val="004F026E"/>
    <w:pPr>
      <w:spacing w:beforeAutospacing="1" w:afterAutospacing="1" w:line="240" w:lineRule="auto"/>
    </w:pPr>
    <w:rPr>
      <w:rFonts w:ascii="Times New Roman" w:eastAsia="Times New Roman" w:hAnsi="Times New Roman"/>
      <w:sz w:val="24"/>
      <w:szCs w:val="24"/>
      <w:lang w:val="it-IT" w:eastAsia="it-IT"/>
    </w:rPr>
  </w:style>
  <w:style w:type="paragraph" w:styleId="Akapitzlist">
    <w:name w:val="List Paragraph"/>
    <w:basedOn w:val="Normalny"/>
    <w:uiPriority w:val="34"/>
    <w:qFormat/>
    <w:rsid w:val="007050AA"/>
    <w:pPr>
      <w:ind w:left="720"/>
    </w:pPr>
    <w:rPr>
      <w:rFonts w:cs="Tahoma"/>
      <w:sz w:val="22"/>
      <w:lang w:val="it-IT" w:eastAsia="it-IT"/>
    </w:rPr>
  </w:style>
  <w:style w:type="character" w:styleId="Odwoaniedokomentarza">
    <w:name w:val="annotation reference"/>
    <w:basedOn w:val="Domylnaczcionkaakapitu"/>
    <w:uiPriority w:val="99"/>
    <w:semiHidden/>
    <w:unhideWhenUsed/>
    <w:rsid w:val="00B957AF"/>
    <w:rPr>
      <w:sz w:val="16"/>
      <w:szCs w:val="16"/>
    </w:rPr>
  </w:style>
  <w:style w:type="paragraph" w:styleId="Tekstkomentarza">
    <w:name w:val="annotation text"/>
    <w:basedOn w:val="Normalny"/>
    <w:link w:val="TekstkomentarzaZnak"/>
    <w:uiPriority w:val="99"/>
    <w:semiHidden/>
    <w:unhideWhenUsed/>
    <w:rsid w:val="00B95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57AF"/>
    <w:rPr>
      <w:rFonts w:ascii="Tahoma" w:hAnsi="Tahoma"/>
      <w:lang w:val="en-GB" w:eastAsia="en-US"/>
    </w:rPr>
  </w:style>
  <w:style w:type="paragraph" w:styleId="Tematkomentarza">
    <w:name w:val="annotation subject"/>
    <w:basedOn w:val="Tekstkomentarza"/>
    <w:next w:val="Tekstkomentarza"/>
    <w:link w:val="TematkomentarzaZnak"/>
    <w:uiPriority w:val="99"/>
    <w:semiHidden/>
    <w:unhideWhenUsed/>
    <w:rsid w:val="00B957AF"/>
    <w:rPr>
      <w:b/>
      <w:bCs/>
    </w:rPr>
  </w:style>
  <w:style w:type="character" w:customStyle="1" w:styleId="TematkomentarzaZnak">
    <w:name w:val="Temat komentarza Znak"/>
    <w:basedOn w:val="TekstkomentarzaZnak"/>
    <w:link w:val="Tematkomentarza"/>
    <w:uiPriority w:val="99"/>
    <w:semiHidden/>
    <w:rsid w:val="00B957AF"/>
    <w:rPr>
      <w:rFonts w:ascii="Tahoma" w:hAnsi="Tahoma"/>
      <w:b/>
      <w:bCs/>
      <w:lang w:val="en-GB" w:eastAsia="en-US"/>
    </w:rPr>
  </w:style>
  <w:style w:type="character" w:customStyle="1" w:styleId="normaltextrun">
    <w:name w:val="normaltextrun"/>
    <w:basedOn w:val="Domylnaczcionkaakapitu"/>
    <w:rsid w:val="00377071"/>
  </w:style>
  <w:style w:type="paragraph" w:styleId="Poprawka">
    <w:name w:val="Revision"/>
    <w:hidden/>
    <w:uiPriority w:val="99"/>
    <w:semiHidden/>
    <w:rsid w:val="00B253A7"/>
    <w:pPr>
      <w:suppressAutoHyphens w:val="0"/>
    </w:pPr>
    <w:rPr>
      <w:rFonts w:ascii="Tahoma" w:hAnsi="Tahoma"/>
      <w:sz w:val="18"/>
      <w:szCs w:val="22"/>
      <w:lang w:val="en-GB" w:eastAsia="en-US"/>
    </w:rPr>
  </w:style>
  <w:style w:type="paragraph" w:customStyle="1" w:styleId="p1">
    <w:name w:val="p1"/>
    <w:basedOn w:val="Normalny"/>
    <w:rsid w:val="00F90873"/>
    <w:pPr>
      <w:suppressAutoHyphens w:val="0"/>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lkington.com/en/global/products/product-categories/solar-control/pilkington-suncool-range/pilkington-suncool-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lk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A360-AD17-4939-9CB8-3C63D092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502</Words>
  <Characters>2862</Characters>
  <Application>Microsoft Office Word</Application>
  <DocSecurity>0</DocSecurity>
  <Lines>23</Lines>
  <Paragraphs>6</Paragraphs>
  <ScaleCrop>false</ScaleCrop>
  <HeadingPairs>
    <vt:vector size="6" baseType="variant">
      <vt:variant>
        <vt:lpstr>Title</vt:lpstr>
      </vt:variant>
      <vt:variant>
        <vt:i4>1</vt:i4>
      </vt:variant>
      <vt:variant>
        <vt:lpstr>Tytuł</vt:lpstr>
      </vt:variant>
      <vt:variant>
        <vt:i4>1</vt:i4>
      </vt:variant>
      <vt:variant>
        <vt:lpstr>Titolo</vt:lpstr>
      </vt:variant>
      <vt:variant>
        <vt:i4>1</vt:i4>
      </vt:variant>
    </vt:vector>
  </HeadingPairs>
  <TitlesOfParts>
    <vt:vector size="3" baseType="lpstr">
      <vt:lpstr>15 July 2021</vt:lpstr>
      <vt:lpstr>22 settembre 2012</vt:lpstr>
      <vt:lpstr>22 settembre 2012</vt:lpstr>
    </vt:vector>
  </TitlesOfParts>
  <Manager/>
  <Company>LBW Communications Ltd</Company>
  <LinksUpToDate>false</LinksUpToDate>
  <CharactersWithSpaces>3358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July 2021</dc:title>
  <dc:subject/>
  <dc:creator>Lorna Williams</dc:creator>
  <cp:keywords/>
  <dc:description/>
  <cp:lastModifiedBy>Lessig Jolanta</cp:lastModifiedBy>
  <cp:revision>9</cp:revision>
  <cp:lastPrinted>2021-01-18T12:43:00Z</cp:lastPrinted>
  <dcterms:created xsi:type="dcterms:W3CDTF">2022-08-23T11:31:00Z</dcterms:created>
  <dcterms:modified xsi:type="dcterms:W3CDTF">2022-08-23T11:37:00Z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